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Лёгкий офлайн-резерв платежей для регионов и северного завоза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Нестабильность связи в удалённых регионах и критической инфраструктуре (АЗС, логистика, северный завоз) приводит к сбоям платёжных операций, простоям и экономическим потерям. Рост цифровизации увеличивает риски при перебоях интернета.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Офлайн-платежи на АЗС при отсутствии связи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Расчёты в логистике северного завоза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Мобильная торговля в удалённых районах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Защищённый офлайн-режим с лимитированными токенами на картах «Мир» и через СБП. Локальная авторизация с последующей синхронизацией при восстановлении связи. Участники: НСПК, банки, эквайеры, торгые точки.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Покупатель инициирует платёж → 2. Терминал проверяет офлайн-токен и лимиты → 3. Операция сохраняется локально → 4. При появлении связи данные синхронизируются с процессингом → 5. Клиринг и сверка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Криптографически защищённые офлайн-токены с динамическими лимитами риска и автоматической синхронизацией через инфраструктуру НСПК/СБП.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ДИ и IT-департамента НСПК, участие банков-партнёров, регуляторная поддержка ЦБ, пилоты с эквайерами и торговыми сетями.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двойное списание, компрометация токенов. Юридические: признание офлайн-операций, споры. Рыночные: стоимость внедрения, сопротивление банков.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Новый сервис для клиентов, снижение потерь от failed transactions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роли инфраструктурного оператора, монетизация сервиса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финансовой устойчивости критических отраслей, снижение рисков сбоев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сервис резервных платежей банкам и эквайерам, SLA-пакеты для критической инфраструктуры, транзакционные комиссии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платежных систем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риск-менеджмента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Менеджер по партнёрствам с банками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разработке офлайн-режима платежей для критической инфраструктуры совместно с Департаментом IT и регуляторным блоком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