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Суперапп для социальных выплат и жизненных событий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Снижает бюрократическую нагрузку при получении социальных выплат, устраняет ошибки из-за неверных реквизитов, ускоряет доставку денег в критических ситуациях. Решает проблему многократного ручного ввода данных и сложной навигации в стрессовых жизненных обстоятельствах.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зачисление пенсии на заранее выбранный счет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мгновенное получение пособия при рождении ребенка без подачи реквизитов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адресная помощь при ЧС через предустановленный маршрут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Сквозной сервис с предварительной привязкой счета, проактивными уведомлениями, автоматической маршрутизацией выплат через СБП/банки. Участники: гражданин, госорганы, банки, НСПК, Госуслуги. Данные о выплатах и статусах синхронизируются между системами.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выбирает основной счет для соцвыплат 2. При наступлении жизненного события система определяет право на выплату 3. Отправляется уведомление с предзаполненными реквизитами 4. При необходимости - подтверждение одним кликом 5. Автоматический перевод денег 6. Отслеживание статуса в приложении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Единый предустановленный маршрут выплат, который не требует повторного указания реквизитов и сокращает ручные операции до минимума.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API, интеграция с банковскими системами и Госуслугами, юридическое сопровождение, команда разработчиков и аналитиков. Нужна поддержка департаментов интеграции, безопасности и правового.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сложность интеграции с устаревшими системами ведомств. Юридические: соблюдение требований по персональным данным и согласиям. Рыночные: конкуренция банков за статус основного счета.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Увеличение вовлеченности клиентов, рост транзакционной активности, снижение затрат на обработку выплат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Укрепление позиций СБП и карты Мир как социальной инфраструктуры, рост транзакций, новые сервисы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эффективности соцвыплат, сокращение бюрократии, прозрачность доставки помощи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транзакции для ведомств, SaaS-решение для банков, премиум-сервисы для бизнеса (корпоративные выплаты)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интеграционных решений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социальных проектов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Юрист по финансовому регулированию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сервиса автоматической маршрутизации соцвыплат совместно с департаментом развития СБП и правовым департаментом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