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Платёжная платформа с поддержкой токенизированных сценариев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4,7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Российская платёжная инфраструктура не готова к переходу на токенизированные операции и AI-агентов. Существующие системы не поддерживают разделение карты, кошелька и токена устройства, что ограничивает безопасность и программируемость платежей в условиях роста токенизации активов и автоматизированных сценариев.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Токенизация карт «Мир» для безопасных мобильных платежей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AI-агенты с ограниченными правами на оплату (билеты, подписки)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Программируемые B2B-платежи с escrow для маркетплейсов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Пятислойная архитектура: идентичность, токены (платежный, device, wallet, mandate), политики лимитов, оркестрация платежей (Мир/СБП/цифровой рубль), клиринг. Участники: НСПК, банки, мерчанты, пользователи. Потоки: выпуск мандата → проверка политик → подпись → исполнение → аудит.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Пользователь выпускает мандат-токен на оплату такси. 2. AI-агент формирует черновик платежа. 3. Policy engine проверяет лимиты. 4. Финподпись через защищённый контур. 5. Списание через СБП. 6. Запись в аудит-реестр.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Разделение сущностей (карта ≠ кошелёк ≠ устройство ≠ мандат) и управление правами через токены с политиками, что обеспечивает безопасность и программируемость.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Департаменты: архитектуры, безопасности, R&amp;D, юридический. Ресурсы: cloud-инфраструктура, API-шлюзы, интеграция с банками-пилотами, sandbox ЦБ.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Регуляторная неопределённость по токенам и AI, сложность интеграции с legacy-системами, кибератаки на токены. Снижение: sandbox, hardware-ключи, поэтапное внедрение.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Новые сервисы (подписки, escrow), снижение fraud, привлечение клиентов AI-платежами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Трансформация в токен-платформу, рост транзакций, лидерство в стандартах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Архитектура для цифрового рубля, надзор за AI-операциями, финансовая стабильность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Комиссия за токенизацию, плата за API-вызовы, премиум-политики для банков, сервисы для B2B-escrow.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Главный архитектор НСПК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департамента кибербезопасности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юрист по финтеху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токенизированного платежного слоя совместно с ДЭС и ЦБ, с презентацией ТЗ к 01.09.2024.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