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Токенизация1: Инфраструктура для токенизированных активов (не ИИ)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4,5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Российский рынок цифровых активов отстает от мировых трендов, отсутствует национальная инфраструктура для токенизированных финансовых инструментов. Инвесторы вынуждены использовать зарубежные площадки, бизнес ограничен в доступе к новым формам финансирования. Это создает риски оттока капитала и снижает конкурентоспособность финансовой системы.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токенизация акций малых и средних предприятий для привлечения инвестиций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выпуск цифровых облигаций с мгновенным расчетом через СБП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создание токенизированных паев инвестиционных фондов для розничных инвесторов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Платформа на распределенном реестре для эмиссии ЦФА, интегрированная с СБП и цифровым рублем. Участники: эмитенты, инвесторы, банки, НСПК (оператор), ЦБ (регулятор). Потоки: атомарные сделки - одновременная передача актива и платежа.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Эмитент размещает токены акций на платформе 2. Инвестор выбирает актив в банковском приложении 3. Платеж через СБП и передача прав происходят мгновенно 4. Сделка фиксируется в реестре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Интеграция эмиссионной платформы токенизированных активов с Системой быстрых платежей для обеспечения мгновенных и безопасных расчетов в рублях.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Департамент разработки (платформа), юридический отдел (нормативная база), кибербезопасность, партнерство с ЦБ и крупными банками, ИТ-инфраструктура.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Регуляторные - необходимость изменений в законодательстве о ЦФА; технологические - обеспечение безопасности и масштабируемости; рыночные - медленное принятие инвесторами.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новые комиссионные доходы, привлечение клиентов инвестиционными продуктами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диверсификация доходов, усиление роли как инфраструктурного оператора, развитие бренда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развитие рынка капитала, контроль над цифровыми активами, укрепление рубля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Комиссия за эмиссию активов, плата за транзакции, абонентская плата за доступ к платформе, процессинг услуг.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ДБО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юрист по финтеху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архитектор платежных систем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национальной платформы токенизированных активов совместно с Департаментом финансовых технологий Банка России и крупнейшими банками-партнерами.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