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ИИ6: AI-ассистент для анализа законодательства о платежах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4,3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Быстро меняющееся регулирование в сфере платежей, AML/CFT и санкций создаёт высокие регуляторные риски для НСПК и участников рынка. Ручной мониторинг нормативных актов трудоёмок, подвержен ошибкам и задержкам, что может привести к нарушениям, штрафам и приостановке операций. Нехватка специализированных инструментов для анализа российского и евразийского контекста.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уведомление об изменениях в Положении ЦБ 683-П с выделением новых требований к идентификации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Мониторинг санкционных списков и их влияния на международные операции платёжной системы "Мир"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Анализ соответствия новых сервисов СБП (например, кредитные платежи) законодательству о микрофинансировании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SaaS-платформа с ИИ-ядром для сбора (API, парсинг), обработки (NLP на рус./англ.) и классификации нормативных документов. Предоставляет структурированные аналитические справки, ключевые требования и сроки через веб-интерфейс и API. Участники: НСПК (оператор), банки (подписчики), ЦБ (источник данных). Поток: ежедневный сбор -&gt; анализ -&gt; push-уведомления.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Система обнаруживает новый закон на портале pravo.gov.ru. 2. NLP-модель выделяет сущности: тема (AML), субъекты (кредитные организации), новые обязанности и сроки. 3. Классификатор оценивает релевантность для сегмента (например, СБП). 4. Подписанные банки получают алерт с выжимкой и ссылкой. 5. Юристы банка проверяют справку и запускают процесс имплементации.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AI-ядро на базе NLP и ML, способное точно анализировать сложные юридические тексты на русском языке, выделять обязательные требования, субъекты регулирования и сроки в условиях изменяющегося российского законодательства.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ML-инженеров и Data Scientists, юристы-эксперты по платежному праву и AML от НСПК, доступ к правовым базам (КонсультантПлюс, ГАРАНТ), вычислительные мощности для обучения моделей, сотрудничество с Департаментом информационных технологий и Правовым департаментом НСПК.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ошибки NLP в интерпретации юридических нюансов. Регуляторные: возможные претензии к толкованию норм. Рыночные: низкая готовность банков платить, конкуренция с общими правовыми системами. Правовые: ограничения доступа к некоторым источникам официальной информации.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Сокращение затрат и времени на юридический мониторинг, своевременное предупреждение о новых обязательствах, снижение риска штрафов, автоматизация compliance-процессов.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собственной регуляторной устойчивости, монетизация нового сервиса, усиление экосистемы "Мир", снижение рисков для новых продуктов (Mir Pay, кросс-бордер).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однородности применения норм на рынке, инструмент для мониторинга имплементации указаний ЦБ, данные для анализа регуляторной нагрузки, поддержка цифрового рубля.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Подписочная SaaS-модель для банков-участников, дифференцированная по количеству отслеживаемых категорий (платежи, AML, санкции) и глубине аналитики. Пилот для первых партнёров — бесплатно.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нормативного соответствия (Compliance)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платежному праву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ИИ/ML решений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Департаменту инноваций инициировать исследование по разработке AI-ассистента для анализа законодательства о платежах и AML совместно с Правовым департаментом, ДИТ и привлечением внешних экспертов в области LegalTech и NLP.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