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ИИ4: Оптимизация циклов разработки платежных сервисов с предсказанием инцидентов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Ускорение циклов разработки в банках и у НСПК приводит к росту числа сбоев в платежных сервисах, угрожая надёжности и доступности критической инфраструктуры (карты «Мир», СБП). Существующие инструменты не обеспечивают предиктивный анализ рисков инцидентов на основе метрик разработки и нагрузочного тестирования.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Прогноз риска сбоя API СБП после обновления в банке-участнике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Оценка стабильности релиза для процессинга «Мир» перед развёртыванием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Выявление банков с рискованными практиками разработки, создающими системную угрозу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SaaS-платформа с ИИ-ядром (ensemble ML). Банки через легковесных агентов в CI/CD поставляют анонимные метрики разработки и тестов. Платформа анализирует данные, выдает оценку риска релиза и рекомендации. НСПК агрегирует данные для обучения моделей и использует для своих систем. ЦБ РФ получает дашборд стабильности экосистемы.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Банк готовит релиз. 2. Агент собирает метрики коммитов, сборок, нагрузочных тестов. 3. Модель вычисляет риск (Low/Med/High). 4. Команда получает предупреждение и рекомендации по тестированию. 5. При высоком риске релиз откладывается или дорабатывается.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Ensemble ML-модели, обученные на исторических данных разработки и эксплуатационных инцидентах от множества банков и НСПК, для прогнозирования вероятности сбоя.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Команда Data Scientists, ML-инженеров; инфраструктура для SaaS (DevOps); данные от банков-пилотов и НСПК; поддержка ДИ по привлечению партнёров, юристов по регуляторике и безопасности данных.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Технические: ложные срабатывания моделей. Регуляторные: нежелание банков делиться данными. Рыночные: конкуренция с универсальными APM-решениями. Правовые: сложности с агрегацией и анонимизацией данных от участников.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Снижение операционных рисков и издержек от сбоев, предиктивные рекомендации по тестированию, повышение MTBF.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Проактивное повышение надёжности собственных сервисов, управление рисками экосистемы, новый инструмент для партнёрства/мониторинга.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Инструмент надзора за устойчивостью СПСИ, опережающие индикаторы системного стресса, основа для стандартов разработки.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Подписка (SaaS) для банков; включение в пакет технологических услуг НСПК; бесплатное предоставление ЦБ РФ как элемента инфраструктуры финансовой стабильности.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разработки НСПК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платёжных систем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управления рисков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ИИ-инструмента предиктивной аналитики инцидентов совместно с Департаментом разработки, Управлением рисков и при участии ЦБ РФ и пилотной группы банков.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